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napToGrid w:val="0"/>
        <w:spacing w:line="360" w:lineRule="auto"/>
        <w:ind w:firstLine="0" w:firstLineChars="0"/>
        <w:jc w:val="center"/>
        <w:rPr>
          <w:b/>
          <w:color w:val="000000"/>
          <w:sz w:val="44"/>
          <w:szCs w:val="36"/>
          <w:highlight w:val="yellow"/>
        </w:rPr>
      </w:pPr>
    </w:p>
    <w:p>
      <w:pPr>
        <w:pStyle w:val="8"/>
        <w:adjustRightInd w:val="0"/>
        <w:snapToGrid w:val="0"/>
        <w:spacing w:line="360" w:lineRule="auto"/>
        <w:ind w:firstLine="0" w:firstLineChars="0"/>
        <w:jc w:val="center"/>
        <w:rPr>
          <w:rFonts w:eastAsia="楷体"/>
          <w:b/>
          <w:color w:val="000000"/>
          <w:sz w:val="52"/>
          <w:szCs w:val="36"/>
          <w:highlight w:val="yellow"/>
        </w:rPr>
      </w:pPr>
    </w:p>
    <w:p>
      <w:pPr>
        <w:pStyle w:val="8"/>
        <w:adjustRightInd w:val="0"/>
        <w:snapToGrid w:val="0"/>
        <w:spacing w:line="360" w:lineRule="auto"/>
        <w:ind w:firstLine="0" w:firstLineChars="0"/>
        <w:jc w:val="center"/>
        <w:rPr>
          <w:rFonts w:eastAsia="楷体"/>
          <w:b/>
          <w:color w:val="000000"/>
          <w:sz w:val="52"/>
          <w:szCs w:val="36"/>
          <w:highlight w:val="yellow"/>
        </w:rPr>
      </w:pPr>
    </w:p>
    <w:p>
      <w:pPr>
        <w:pStyle w:val="8"/>
        <w:ind w:firstLine="0" w:firstLineChars="0"/>
        <w:jc w:val="center"/>
        <w:rPr>
          <w:rFonts w:hint="eastAsia" w:eastAsia="楷体"/>
          <w:b/>
          <w:color w:val="000000"/>
          <w:sz w:val="44"/>
          <w:szCs w:val="44"/>
        </w:rPr>
      </w:pPr>
      <w:bookmarkStart w:id="1" w:name="_GoBack"/>
      <w:r>
        <w:rPr>
          <w:rFonts w:hint="eastAsia" w:eastAsia="楷体"/>
          <w:b/>
          <w:color w:val="000000"/>
          <w:sz w:val="44"/>
          <w:szCs w:val="44"/>
        </w:rPr>
        <w:t>扬中市扬中大道西侧、环岛公路东侧</w:t>
      </w:r>
    </w:p>
    <w:p>
      <w:pPr>
        <w:pStyle w:val="8"/>
        <w:ind w:firstLine="0" w:firstLineChars="0"/>
        <w:jc w:val="center"/>
        <w:rPr>
          <w:rFonts w:hint="eastAsia" w:eastAsia="楷体"/>
          <w:b/>
          <w:color w:val="000000"/>
          <w:sz w:val="44"/>
          <w:szCs w:val="44"/>
        </w:rPr>
      </w:pPr>
      <w:r>
        <w:rPr>
          <w:rFonts w:hint="eastAsia" w:eastAsia="楷体"/>
          <w:b/>
          <w:color w:val="000000"/>
          <w:sz w:val="44"/>
          <w:szCs w:val="44"/>
        </w:rPr>
        <w:t>（原海新航天、中洪电器）地块</w:t>
      </w:r>
    </w:p>
    <w:p>
      <w:pPr>
        <w:pStyle w:val="8"/>
        <w:adjustRightInd w:val="0"/>
        <w:snapToGrid w:val="0"/>
        <w:spacing w:line="360" w:lineRule="auto"/>
        <w:ind w:firstLine="0" w:firstLineChars="0"/>
        <w:jc w:val="center"/>
        <w:rPr>
          <w:b/>
          <w:color w:val="000000"/>
          <w:sz w:val="44"/>
          <w:szCs w:val="36"/>
        </w:rPr>
      </w:pPr>
      <w:r>
        <w:rPr>
          <w:rFonts w:hint="eastAsia" w:eastAsia="楷体"/>
          <w:b/>
          <w:color w:val="000000"/>
          <w:sz w:val="44"/>
          <w:szCs w:val="44"/>
        </w:rPr>
        <w:t>土壤污染状况调查报告</w:t>
      </w:r>
    </w:p>
    <w:bookmarkEnd w:id="1"/>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rFonts w:eastAsia="楷体"/>
          <w:b/>
          <w:color w:val="000000"/>
          <w:sz w:val="32"/>
          <w:szCs w:val="36"/>
        </w:rPr>
      </w:pPr>
    </w:p>
    <w:p>
      <w:pPr>
        <w:pStyle w:val="8"/>
        <w:adjustRightInd w:val="0"/>
        <w:snapToGrid w:val="0"/>
        <w:spacing w:line="360" w:lineRule="auto"/>
        <w:ind w:firstLine="0" w:firstLineChars="0"/>
        <w:jc w:val="center"/>
        <w:rPr>
          <w:rFonts w:eastAsia="楷体"/>
          <w:b/>
          <w:color w:val="000000"/>
          <w:sz w:val="32"/>
          <w:szCs w:val="36"/>
        </w:rPr>
      </w:pPr>
    </w:p>
    <w:p>
      <w:pPr>
        <w:pStyle w:val="8"/>
        <w:adjustRightInd w:val="0"/>
        <w:snapToGrid w:val="0"/>
        <w:spacing w:line="360" w:lineRule="auto"/>
        <w:ind w:firstLine="0" w:firstLineChars="0"/>
        <w:jc w:val="center"/>
        <w:rPr>
          <w:rFonts w:hint="eastAsia" w:eastAsia="楷体"/>
          <w:b/>
          <w:color w:val="000000"/>
          <w:sz w:val="32"/>
          <w:szCs w:val="36"/>
        </w:rPr>
      </w:pPr>
    </w:p>
    <w:p>
      <w:pPr>
        <w:pStyle w:val="8"/>
        <w:adjustRightInd w:val="0"/>
        <w:snapToGrid w:val="0"/>
        <w:spacing w:line="360" w:lineRule="auto"/>
        <w:ind w:firstLine="0" w:firstLineChars="0"/>
        <w:jc w:val="center"/>
        <w:rPr>
          <w:rFonts w:eastAsia="楷体"/>
          <w:b/>
          <w:color w:val="000000"/>
          <w:sz w:val="32"/>
          <w:szCs w:val="36"/>
        </w:rPr>
      </w:pPr>
    </w:p>
    <w:p>
      <w:pPr>
        <w:pStyle w:val="8"/>
        <w:adjustRightInd w:val="0"/>
        <w:snapToGrid w:val="0"/>
        <w:spacing w:line="360" w:lineRule="auto"/>
        <w:ind w:firstLine="0" w:firstLineChars="0"/>
        <w:jc w:val="center"/>
        <w:rPr>
          <w:rFonts w:hint="eastAsia" w:eastAsia="楷体"/>
          <w:b/>
          <w:color w:val="000000"/>
          <w:sz w:val="32"/>
          <w:szCs w:val="36"/>
        </w:rPr>
      </w:pPr>
    </w:p>
    <w:p>
      <w:pPr>
        <w:pStyle w:val="8"/>
        <w:adjustRightInd w:val="0"/>
        <w:snapToGrid w:val="0"/>
        <w:spacing w:line="360" w:lineRule="auto"/>
        <w:ind w:firstLine="0" w:firstLineChars="0"/>
        <w:jc w:val="center"/>
        <w:rPr>
          <w:rFonts w:eastAsia="楷体"/>
          <w:b/>
          <w:color w:val="000000"/>
          <w:sz w:val="32"/>
          <w:szCs w:val="36"/>
        </w:rPr>
      </w:pPr>
      <w:r>
        <w:rPr>
          <w:rFonts w:eastAsia="楷体"/>
          <w:b/>
          <w:color w:val="000000"/>
          <w:sz w:val="32"/>
          <w:szCs w:val="36"/>
        </w:rPr>
        <w:t>委托单位：</w:t>
      </w:r>
      <w:bookmarkStart w:id="0" w:name="_Hlk107327035"/>
      <w:r>
        <w:rPr>
          <w:rFonts w:eastAsia="楷体"/>
          <w:b/>
          <w:color w:val="000000"/>
          <w:sz w:val="32"/>
          <w:szCs w:val="36"/>
        </w:rPr>
        <w:t>江苏大行临港产业投资有限公司</w:t>
      </w:r>
    </w:p>
    <w:bookmarkEnd w:id="0"/>
    <w:p>
      <w:pPr>
        <w:pStyle w:val="8"/>
        <w:adjustRightInd w:val="0"/>
        <w:snapToGrid w:val="0"/>
        <w:spacing w:line="360" w:lineRule="auto"/>
        <w:ind w:firstLine="0" w:firstLineChars="0"/>
        <w:jc w:val="center"/>
        <w:rPr>
          <w:rFonts w:eastAsia="楷体"/>
          <w:b/>
          <w:color w:val="000000"/>
          <w:sz w:val="32"/>
          <w:szCs w:val="36"/>
        </w:rPr>
      </w:pPr>
      <w:r>
        <w:rPr>
          <w:rFonts w:eastAsia="楷体"/>
          <w:b/>
          <w:color w:val="000000"/>
          <w:sz w:val="32"/>
          <w:szCs w:val="36"/>
        </w:rPr>
        <w:t>报告编制单位：江苏南京地质工程勘察院</w:t>
      </w:r>
    </w:p>
    <w:p>
      <w:pPr>
        <w:pStyle w:val="9"/>
        <w:rPr>
          <w:rFonts w:eastAsia="楷体_GB2312"/>
          <w:b/>
          <w:snapToGrid w:val="0"/>
          <w:kern w:val="0"/>
          <w:sz w:val="32"/>
        </w:rPr>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720" w:num="1"/>
          <w:titlePg/>
          <w:docGrid w:type="linesAndChars" w:linePitch="326" w:charSpace="0"/>
        </w:sectPr>
      </w:pPr>
      <w:r>
        <w:rPr>
          <w:rFonts w:eastAsia="楷体_GB2312"/>
          <w:b/>
          <w:snapToGrid w:val="0"/>
          <w:kern w:val="0"/>
          <w:sz w:val="32"/>
        </w:rPr>
        <w:t>二</w:t>
      </w:r>
      <w:r>
        <w:rPr>
          <w:b/>
          <w:snapToGrid w:val="0"/>
          <w:kern w:val="0"/>
          <w:sz w:val="32"/>
        </w:rPr>
        <w:t>〇</w:t>
      </w:r>
      <w:r>
        <w:rPr>
          <w:rFonts w:eastAsia="楷体_GB2312"/>
          <w:b/>
          <w:snapToGrid w:val="0"/>
          <w:kern w:val="0"/>
          <w:sz w:val="32"/>
        </w:rPr>
        <w:t>二二年</w:t>
      </w:r>
      <w:r>
        <w:rPr>
          <w:rFonts w:hint="eastAsia" w:eastAsia="楷体_GB2312"/>
          <w:b/>
          <w:snapToGrid w:val="0"/>
          <w:kern w:val="0"/>
          <w:sz w:val="32"/>
        </w:rPr>
        <w:t>七</w:t>
      </w:r>
      <w:r>
        <w:rPr>
          <w:rFonts w:eastAsia="楷体_GB2312"/>
          <w:b/>
          <w:snapToGrid w:val="0"/>
          <w:kern w:val="0"/>
          <w:sz w:val="32"/>
        </w:rPr>
        <w:t>月</w:t>
      </w:r>
    </w:p>
    <w:p>
      <w:pPr>
        <w:ind w:firstLine="480"/>
      </w:pPr>
      <w:r>
        <w:rPr>
          <w:rFonts w:hint="eastAsia"/>
        </w:rPr>
        <w:t>原海新航天、中洪电器地块</w:t>
      </w:r>
      <w:r>
        <w:t>位于镇江市扬中市经开区</w:t>
      </w:r>
      <w:r>
        <w:rPr>
          <w:rFonts w:hint="eastAsia"/>
        </w:rPr>
        <w:t>扬中大道西侧</w:t>
      </w:r>
      <w:r>
        <w:t>、</w:t>
      </w:r>
      <w:r>
        <w:rPr>
          <w:rFonts w:hint="eastAsia"/>
        </w:rPr>
        <w:t>环岛公路东侧</w:t>
      </w:r>
      <w:r>
        <w:t>，地块面积约33052.06m</w:t>
      </w:r>
      <w:r>
        <w:rPr>
          <w:vertAlign w:val="superscript"/>
        </w:rPr>
        <w:t>2</w:t>
      </w:r>
      <w:r>
        <w:t>。根据《扬中市经开区</w:t>
      </w:r>
      <w:r>
        <w:rPr>
          <w:rFonts w:hint="eastAsia"/>
        </w:rPr>
        <w:t>扬中大道西侧</w:t>
      </w:r>
      <w:r>
        <w:t>、</w:t>
      </w:r>
      <w:r>
        <w:rPr>
          <w:rFonts w:hint="eastAsia"/>
        </w:rPr>
        <w:t>环岛公路东侧</w:t>
      </w:r>
      <w:r>
        <w:t>地块规划条件》（扬规条（2022）35号），地块规划用地性质为商住用地。</w:t>
      </w:r>
    </w:p>
    <w:p>
      <w:pPr>
        <w:ind w:firstLine="480"/>
      </w:pPr>
      <w:r>
        <w:t>调查小组收集了地块历史卫星影像、扬中市村镇建设用地的批复、地块规划条件及用地红线等资料，于2022年6月8日-10日对调查地块及周边进行了现场踏勘和快速检测，并对</w:t>
      </w:r>
      <w:r>
        <w:rPr>
          <w:color w:val="000000"/>
        </w:rPr>
        <w:t>扬中市自然资源和规划局（土地管理部门）</w:t>
      </w:r>
      <w:r>
        <w:t>、兴隆社区工作人员（地块所在社区）、</w:t>
      </w:r>
      <w:r>
        <w:rPr>
          <w:rFonts w:hint="eastAsia"/>
        </w:rPr>
        <w:t>江苏大行临港产业投资有限公司</w:t>
      </w:r>
      <w:r>
        <w:t>工作人员（地块收储单位）及地块周边常住居民等开展了人员访谈。</w:t>
      </w:r>
    </w:p>
    <w:p>
      <w:pPr>
        <w:autoSpaceDE w:val="0"/>
        <w:ind w:firstLine="480"/>
      </w:pPr>
      <w:r>
        <w:t>根据资料收集、现场踏勘及人员访谈得知，调查地块在2012年以前为农用地，</w:t>
      </w:r>
      <w:r>
        <w:rPr>
          <w:rFonts w:hint="eastAsia"/>
        </w:rPr>
        <w:t>2</w:t>
      </w:r>
      <w:r>
        <w:t>012年地块被扬中市人民政府征收，至今未开发；地块现状主要为自然</w:t>
      </w:r>
      <w:r>
        <w:rPr>
          <w:rFonts w:hint="eastAsia"/>
        </w:rPr>
        <w:t>生长的</w:t>
      </w:r>
      <w:r>
        <w:t>杂草。地块内</w:t>
      </w:r>
      <w:r>
        <w:rPr>
          <w:rFonts w:hint="eastAsia"/>
        </w:rPr>
        <w:t>未发现</w:t>
      </w:r>
      <w:r>
        <w:t>暗沟、渗坑等，无</w:t>
      </w:r>
      <w:r>
        <w:rPr>
          <w:rFonts w:hint="eastAsia"/>
        </w:rPr>
        <w:t>外来堆土及</w:t>
      </w:r>
      <w:r>
        <w:t>固体废物堆存，</w:t>
      </w:r>
      <w:r>
        <w:rPr>
          <w:rFonts w:hint="eastAsia"/>
        </w:rPr>
        <w:t>未发现</w:t>
      </w:r>
      <w:r>
        <w:t>地下管线及地下储存设施，未发生过环境污染事故，现场快速检测结果未见异常，场地周边也没有重污染企业及可能的潜在污染源。</w:t>
      </w:r>
    </w:p>
    <w:p>
      <w:pPr>
        <w:ind w:firstLine="480"/>
        <w:rPr>
          <w:rFonts w:hint="eastAsia"/>
          <w:b/>
          <w:bCs/>
        </w:rPr>
        <w:sectPr>
          <w:footerReference r:id="rId10" w:type="default"/>
          <w:pgSz w:w="11906" w:h="16838"/>
          <w:pgMar w:top="1440" w:right="1800" w:bottom="1440" w:left="1800" w:header="851" w:footer="992" w:gutter="0"/>
          <w:pgNumType w:fmt="upperRoman" w:start="1"/>
          <w:cols w:space="720" w:num="1"/>
          <w:docGrid w:type="linesAndChars" w:linePitch="312" w:charSpace="0"/>
        </w:sectPr>
      </w:pPr>
      <w:r>
        <w:rPr>
          <w:b/>
          <w:bCs/>
        </w:rPr>
        <w:t>第一阶段调查结果表明场地内及周围区域当前和历史上不存在确定的、可能造成土壤污染的来源，场地不属于污染地块，根据《建设用地土壤污染状况调查技术导则》（HJ 25.1-2019），</w:t>
      </w:r>
      <w:r>
        <w:rPr>
          <w:rFonts w:hint="eastAsia"/>
          <w:b/>
          <w:bCs/>
        </w:rPr>
        <w:t>不需要开展第二阶段土壤污染状况调查。</w:t>
      </w:r>
    </w:p>
    <w:p/>
    <w:sectPr>
      <w:footerReference r:id="rId11"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979"/>
        <w:tab w:val="clear" w:pos="4153"/>
      </w:tabs>
      <w:ind w:firstLine="400"/>
      <w:rPr>
        <w:sz w:val="20"/>
      </w:rPr>
    </w:pPr>
    <w:r>
      <w:rPr>
        <w:rFonts w:hint="eastAsia"/>
        <w:sz w:val="20"/>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firstLine="0" w:firstLineChars="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4MDhmMjRmZTM0ODAwMjM5ZmFlNGFjMDdmNWYxYTgifQ=="/>
  </w:docVars>
  <w:rsids>
    <w:rsidRoot w:val="00E13D3B"/>
    <w:rsid w:val="00007ABD"/>
    <w:rsid w:val="00475DC6"/>
    <w:rsid w:val="00800C17"/>
    <w:rsid w:val="0091222E"/>
    <w:rsid w:val="009E5D73"/>
    <w:rsid w:val="00C93A61"/>
    <w:rsid w:val="00E13D3B"/>
    <w:rsid w:val="6B52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8"/>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 w:type="paragraph" w:customStyle="1" w:styleId="8">
    <w:name w:val="LD正文"/>
    <w:basedOn w:val="1"/>
    <w:qFormat/>
    <w:uiPriority w:val="0"/>
    <w:pPr>
      <w:adjustRightInd/>
      <w:snapToGrid/>
      <w:spacing w:line="240" w:lineRule="auto"/>
    </w:pPr>
    <w:rPr>
      <w:rFonts w:cs="Times New Roman"/>
      <w:sz w:val="28"/>
      <w:szCs w:val="20"/>
    </w:rPr>
  </w:style>
  <w:style w:type="paragraph" w:customStyle="1" w:styleId="9">
    <w:name w:val="表文字"/>
    <w:qFormat/>
    <w:uiPriority w:val="0"/>
    <w:pPr>
      <w:adjustRightInd w:val="0"/>
      <w:snapToGrid w:val="0"/>
      <w:jc w:val="center"/>
    </w:pPr>
    <w:rPr>
      <w:rFonts w:ascii="Times New Roman" w:hAnsi="Times New Roman" w:eastAsia="宋体" w:cs="Times New Roman"/>
      <w:kern w:val="2"/>
      <w:sz w:val="21"/>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1552</Words>
  <Characters>1692</Characters>
  <Lines>12</Lines>
  <Paragraphs>3</Paragraphs>
  <TotalTime>1</TotalTime>
  <ScaleCrop>false</ScaleCrop>
  <LinksUpToDate>false</LinksUpToDate>
  <CharactersWithSpaces>1701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2020-12-30T07:14:00Z</dcterms:created>
  <dc:creator>AutoBVT</dc:creator>
  <cp:lastModifiedBy>admin</cp:lastModifiedBy>
  <dcterms:modified xsi:type="dcterms:W3CDTF">2022-11-21T02:14:55Z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7AE70CDDC21B4D479D8E23B212B85EBD</vt:lpwstr>
  </property>
</Properties>
</file>